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B260B">
        <w:rPr>
          <w:color w:val="auto"/>
          <w:sz w:val="28"/>
          <w:szCs w:val="28"/>
        </w:rPr>
        <w:t>72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1B260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9137F7" w:rsidRPr="000F1321">
        <w:rPr>
          <w:sz w:val="28"/>
          <w:szCs w:val="28"/>
        </w:rPr>
        <w:t>.10</w:t>
      </w:r>
      <w:r w:rsidR="00785A51" w:rsidRPr="000F13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F28B9" w:rsidRPr="000F132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9137F7">
        <w:rPr>
          <w:sz w:val="28"/>
          <w:szCs w:val="28"/>
        </w:rPr>
        <w:t>постановления Администрации города Яровое Алтайского края «Об одобрении прогноза социально-экономического развития муниципального образования город Яровое на среднесрочный период 202</w:t>
      </w:r>
      <w:r w:rsidR="001B260B">
        <w:rPr>
          <w:sz w:val="28"/>
          <w:szCs w:val="28"/>
        </w:rPr>
        <w:t>5</w:t>
      </w:r>
      <w:r w:rsidR="009137F7">
        <w:rPr>
          <w:sz w:val="28"/>
          <w:szCs w:val="28"/>
        </w:rPr>
        <w:t>-202</w:t>
      </w:r>
      <w:r w:rsidR="001B260B">
        <w:rPr>
          <w:sz w:val="28"/>
          <w:szCs w:val="28"/>
        </w:rPr>
        <w:t>7</w:t>
      </w:r>
      <w:r w:rsidR="009137F7">
        <w:rPr>
          <w:sz w:val="28"/>
          <w:szCs w:val="28"/>
        </w:rPr>
        <w:t xml:space="preserve"> гг.»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BF7422" w:rsidRDefault="00A20707" w:rsidP="00D97B16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99307D" w:rsidRPr="00A20707">
        <w:rPr>
          <w:color w:val="auto"/>
          <w:sz w:val="28"/>
          <w:szCs w:val="28"/>
        </w:rPr>
        <w:t>проект</w:t>
      </w:r>
      <w:r w:rsidR="0099307D">
        <w:rPr>
          <w:color w:val="auto"/>
          <w:sz w:val="28"/>
          <w:szCs w:val="28"/>
        </w:rPr>
        <w:t xml:space="preserve"> </w:t>
      </w:r>
      <w:r w:rsidR="0099307D" w:rsidRPr="00A20707">
        <w:rPr>
          <w:color w:val="auto"/>
          <w:sz w:val="28"/>
          <w:szCs w:val="28"/>
        </w:rPr>
        <w:t>постановления</w:t>
      </w:r>
      <w:r w:rsidR="0099307D">
        <w:rPr>
          <w:sz w:val="28"/>
          <w:szCs w:val="28"/>
        </w:rPr>
        <w:t xml:space="preserve"> Администрации города Яровое Алтайского края «Об одобрении прогноза социально-экономического развития муниципального образования город Яровое на среднесрочный период 202</w:t>
      </w:r>
      <w:r w:rsidR="009F782E">
        <w:rPr>
          <w:sz w:val="28"/>
          <w:szCs w:val="28"/>
        </w:rPr>
        <w:t>5</w:t>
      </w:r>
      <w:r w:rsidR="0099307D">
        <w:rPr>
          <w:sz w:val="28"/>
          <w:szCs w:val="28"/>
        </w:rPr>
        <w:t>-202</w:t>
      </w:r>
      <w:r w:rsidR="009F782E">
        <w:rPr>
          <w:sz w:val="28"/>
          <w:szCs w:val="28"/>
        </w:rPr>
        <w:t>7</w:t>
      </w:r>
      <w:r w:rsidR="0099307D">
        <w:rPr>
          <w:sz w:val="28"/>
          <w:szCs w:val="28"/>
        </w:rPr>
        <w:t xml:space="preserve"> гг.» </w:t>
      </w:r>
      <w:r w:rsidRPr="00A20707">
        <w:rPr>
          <w:color w:val="auto"/>
          <w:sz w:val="28"/>
          <w:szCs w:val="28"/>
        </w:rPr>
        <w:t>(далее - «</w:t>
      </w:r>
      <w:r w:rsidR="009F782E">
        <w:rPr>
          <w:color w:val="auto"/>
          <w:sz w:val="28"/>
          <w:szCs w:val="28"/>
        </w:rPr>
        <w:t>П</w:t>
      </w:r>
      <w:r w:rsidRPr="00A20707">
        <w:rPr>
          <w:color w:val="auto"/>
          <w:sz w:val="28"/>
          <w:szCs w:val="28"/>
        </w:rPr>
        <w:t xml:space="preserve">роект </w:t>
      </w:r>
      <w:r w:rsidR="0099307D">
        <w:rPr>
          <w:color w:val="auto"/>
          <w:sz w:val="28"/>
          <w:szCs w:val="28"/>
        </w:rPr>
        <w:t>постановления</w:t>
      </w:r>
      <w:r w:rsidRPr="00A20707">
        <w:rPr>
          <w:color w:val="auto"/>
          <w:sz w:val="28"/>
          <w:szCs w:val="28"/>
        </w:rPr>
        <w:t>») подготовлен</w:t>
      </w:r>
      <w:r w:rsidR="00803353">
        <w:rPr>
          <w:color w:val="auto"/>
          <w:sz w:val="28"/>
          <w:szCs w:val="28"/>
        </w:rPr>
        <w:t>о</w:t>
      </w:r>
      <w:r w:rsidRPr="00A20707">
        <w:rPr>
          <w:color w:val="auto"/>
          <w:sz w:val="28"/>
          <w:szCs w:val="28"/>
        </w:rPr>
        <w:t xml:space="preserve"> на основании ст.157 Бюджетного Кодекса Российской Федерации, п.</w:t>
      </w:r>
      <w:r w:rsidR="000D4DB1">
        <w:rPr>
          <w:color w:val="auto"/>
          <w:sz w:val="28"/>
          <w:szCs w:val="28"/>
        </w:rPr>
        <w:t>12</w:t>
      </w:r>
      <w:r w:rsidRPr="00A20707">
        <w:rPr>
          <w:color w:val="auto"/>
          <w:sz w:val="28"/>
          <w:szCs w:val="28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7422" w:rsidRPr="00BF7422">
        <w:rPr>
          <w:color w:val="auto"/>
          <w:sz w:val="28"/>
          <w:szCs w:val="28"/>
        </w:rPr>
        <w:t xml:space="preserve">ст.9 Положения о Контрольно- счетной палате города Яровое Алтайского края, утвержденного решением Городского Собрания депутатов города Яровое Алтайского края  от 30.11.2021г. № 36. </w:t>
      </w:r>
    </w:p>
    <w:p w:rsidR="00C85303" w:rsidRDefault="00D97B16" w:rsidP="00D97B16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 xml:space="preserve">В соответствии с абзацем 1 части 2 статьи 173 БК РФ разработка Прогноза социально-экономического развития </w:t>
      </w:r>
      <w:r w:rsidR="00C85303">
        <w:rPr>
          <w:color w:val="auto"/>
          <w:sz w:val="28"/>
          <w:szCs w:val="28"/>
        </w:rPr>
        <w:t>муниципального образования город Яровое</w:t>
      </w:r>
      <w:r w:rsidRPr="00D97B16">
        <w:rPr>
          <w:color w:val="auto"/>
          <w:sz w:val="28"/>
          <w:szCs w:val="28"/>
        </w:rPr>
        <w:t xml:space="preserve"> на </w:t>
      </w:r>
      <w:r w:rsidR="00C85303">
        <w:rPr>
          <w:color w:val="auto"/>
          <w:sz w:val="28"/>
          <w:szCs w:val="28"/>
        </w:rPr>
        <w:t>среднесрочный период</w:t>
      </w:r>
      <w:r w:rsidR="00754EF7">
        <w:rPr>
          <w:color w:val="auto"/>
          <w:sz w:val="28"/>
          <w:szCs w:val="28"/>
        </w:rPr>
        <w:t xml:space="preserve"> (далее Прогноз)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>регламентир</w:t>
      </w:r>
      <w:r w:rsidR="00803353">
        <w:rPr>
          <w:color w:val="auto"/>
          <w:sz w:val="28"/>
          <w:szCs w:val="28"/>
        </w:rPr>
        <w:t>уется</w:t>
      </w:r>
      <w:r w:rsidRPr="00D97B16">
        <w:rPr>
          <w:color w:val="auto"/>
          <w:sz w:val="28"/>
          <w:szCs w:val="28"/>
        </w:rPr>
        <w:t xml:space="preserve"> Порядком разработки, корректировки, осуществления мониторинга и контроля реализации прогноза социально-экономического развития </w:t>
      </w:r>
      <w:r w:rsidR="00C85303">
        <w:rPr>
          <w:color w:val="auto"/>
          <w:sz w:val="28"/>
          <w:szCs w:val="28"/>
        </w:rPr>
        <w:t>муниципального образования город Яровое Алтайского края</w:t>
      </w:r>
      <w:r w:rsidRPr="00D97B16">
        <w:rPr>
          <w:color w:val="auto"/>
          <w:sz w:val="28"/>
          <w:szCs w:val="28"/>
        </w:rPr>
        <w:t xml:space="preserve"> на среднесрочный период, утвержденным </w:t>
      </w:r>
      <w:r w:rsidR="00686DC2">
        <w:rPr>
          <w:color w:val="auto"/>
          <w:sz w:val="28"/>
          <w:szCs w:val="28"/>
        </w:rPr>
        <w:t>постановлением</w:t>
      </w:r>
      <w:r w:rsidR="00C85303">
        <w:rPr>
          <w:color w:val="auto"/>
          <w:sz w:val="28"/>
          <w:szCs w:val="28"/>
        </w:rPr>
        <w:t xml:space="preserve"> Администрации города Яровое Алтайского края от </w:t>
      </w:r>
      <w:r w:rsidR="00686DC2">
        <w:rPr>
          <w:color w:val="auto"/>
          <w:sz w:val="28"/>
          <w:szCs w:val="28"/>
        </w:rPr>
        <w:t>27</w:t>
      </w:r>
      <w:r w:rsidR="00C85303">
        <w:rPr>
          <w:color w:val="auto"/>
          <w:sz w:val="28"/>
          <w:szCs w:val="28"/>
        </w:rPr>
        <w:t>.0</w:t>
      </w:r>
      <w:r w:rsidR="00686DC2">
        <w:rPr>
          <w:color w:val="auto"/>
          <w:sz w:val="28"/>
          <w:szCs w:val="28"/>
        </w:rPr>
        <w:t>9.2018</w:t>
      </w:r>
      <w:r w:rsidR="00C85303">
        <w:rPr>
          <w:color w:val="auto"/>
          <w:sz w:val="28"/>
          <w:szCs w:val="28"/>
        </w:rPr>
        <w:t xml:space="preserve"> № </w:t>
      </w:r>
      <w:r w:rsidR="00686DC2">
        <w:rPr>
          <w:color w:val="auto"/>
          <w:sz w:val="28"/>
          <w:szCs w:val="28"/>
        </w:rPr>
        <w:t>923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 xml:space="preserve">(далее – Порядок разработки среднесрочного прогноза). </w:t>
      </w:r>
    </w:p>
    <w:p w:rsidR="009D624A" w:rsidRPr="002C3911" w:rsidRDefault="00D97B16" w:rsidP="002C3911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>Среднесрочный прогноз н</w:t>
      </w:r>
      <w:r w:rsidR="00C85303">
        <w:rPr>
          <w:color w:val="auto"/>
          <w:sz w:val="28"/>
          <w:szCs w:val="28"/>
        </w:rPr>
        <w:t>а 202</w:t>
      </w:r>
      <w:r w:rsidR="00E446C7">
        <w:rPr>
          <w:color w:val="auto"/>
          <w:sz w:val="28"/>
          <w:szCs w:val="28"/>
        </w:rPr>
        <w:t>5</w:t>
      </w:r>
      <w:r w:rsidR="00C85303">
        <w:rPr>
          <w:color w:val="auto"/>
          <w:sz w:val="28"/>
          <w:szCs w:val="28"/>
        </w:rPr>
        <w:t xml:space="preserve"> – 202</w:t>
      </w:r>
      <w:r w:rsidR="00E446C7">
        <w:rPr>
          <w:color w:val="auto"/>
          <w:sz w:val="28"/>
          <w:szCs w:val="28"/>
        </w:rPr>
        <w:t>7</w:t>
      </w:r>
      <w:r w:rsidR="00C85303">
        <w:rPr>
          <w:color w:val="auto"/>
          <w:sz w:val="28"/>
          <w:szCs w:val="28"/>
        </w:rPr>
        <w:t xml:space="preserve"> годы разработан на вариативной основе, первый вариант-</w:t>
      </w:r>
      <w:r w:rsidR="00151D56">
        <w:rPr>
          <w:color w:val="auto"/>
          <w:sz w:val="28"/>
          <w:szCs w:val="28"/>
        </w:rPr>
        <w:t>консервативный</w:t>
      </w:r>
      <w:r w:rsidR="00C85303">
        <w:rPr>
          <w:color w:val="auto"/>
          <w:sz w:val="28"/>
          <w:szCs w:val="28"/>
        </w:rPr>
        <w:t xml:space="preserve">, второй </w:t>
      </w:r>
      <w:r w:rsidR="00151D56">
        <w:rPr>
          <w:color w:val="auto"/>
          <w:sz w:val="28"/>
          <w:szCs w:val="28"/>
        </w:rPr>
        <w:t>- базовый</w:t>
      </w:r>
      <w:r w:rsidR="00C85303">
        <w:rPr>
          <w:color w:val="auto"/>
          <w:sz w:val="28"/>
          <w:szCs w:val="28"/>
        </w:rPr>
        <w:t xml:space="preserve"> </w:t>
      </w:r>
      <w:r w:rsidRPr="00D97B16">
        <w:rPr>
          <w:color w:val="auto"/>
          <w:sz w:val="28"/>
          <w:szCs w:val="28"/>
        </w:rPr>
        <w:t>в соответствии Порядк</w:t>
      </w:r>
      <w:r w:rsidR="00686DC2">
        <w:rPr>
          <w:color w:val="auto"/>
          <w:sz w:val="28"/>
          <w:szCs w:val="28"/>
        </w:rPr>
        <w:t>ом</w:t>
      </w:r>
      <w:r w:rsidRPr="00D97B16">
        <w:rPr>
          <w:color w:val="auto"/>
          <w:sz w:val="28"/>
          <w:szCs w:val="28"/>
        </w:rPr>
        <w:t xml:space="preserve"> разработки среднесрочного прогноза, части 2 статьи</w:t>
      </w:r>
      <w:r w:rsidR="00F4787E">
        <w:rPr>
          <w:color w:val="auto"/>
          <w:sz w:val="28"/>
          <w:szCs w:val="28"/>
        </w:rPr>
        <w:t xml:space="preserve">  </w:t>
      </w:r>
      <w:r w:rsidRPr="00D97B16">
        <w:rPr>
          <w:color w:val="auto"/>
          <w:sz w:val="28"/>
          <w:szCs w:val="28"/>
        </w:rPr>
        <w:t xml:space="preserve"> </w:t>
      </w:r>
      <w:r w:rsidRPr="00371858">
        <w:rPr>
          <w:color w:val="auto"/>
          <w:sz w:val="28"/>
          <w:szCs w:val="28"/>
        </w:rPr>
        <w:t>3</w:t>
      </w:r>
      <w:r w:rsidR="00371858" w:rsidRPr="00371858">
        <w:rPr>
          <w:color w:val="auto"/>
          <w:sz w:val="28"/>
          <w:szCs w:val="28"/>
        </w:rPr>
        <w:t>9</w:t>
      </w:r>
      <w:r w:rsidRPr="00371858">
        <w:rPr>
          <w:color w:val="auto"/>
          <w:sz w:val="28"/>
          <w:szCs w:val="28"/>
        </w:rPr>
        <w:t xml:space="preserve"> Федерального</w:t>
      </w:r>
      <w:r w:rsidRPr="00D97B16">
        <w:rPr>
          <w:color w:val="auto"/>
          <w:sz w:val="28"/>
          <w:szCs w:val="28"/>
        </w:rPr>
        <w:t xml:space="preserve"> закона от 28.06.2014 № 172-ФЗ «О стратегическом планировании в Российской Федерации»</w:t>
      </w:r>
      <w:r w:rsidR="00371858">
        <w:rPr>
          <w:color w:val="auto"/>
          <w:sz w:val="28"/>
          <w:szCs w:val="28"/>
        </w:rPr>
        <w:t>.</w:t>
      </w:r>
      <w:r w:rsidRPr="00D97B16">
        <w:rPr>
          <w:color w:val="auto"/>
          <w:sz w:val="28"/>
          <w:szCs w:val="28"/>
        </w:rPr>
        <w:t xml:space="preserve"> </w:t>
      </w:r>
      <w:r w:rsidR="002C3911" w:rsidRPr="000F1321">
        <w:rPr>
          <w:color w:val="auto"/>
          <w:sz w:val="28"/>
          <w:szCs w:val="28"/>
        </w:rPr>
        <w:t>Базовый вариант является основным в соответствии с рекомендациями Министерства экономического развития Российской Федерации.</w:t>
      </w:r>
    </w:p>
    <w:p w:rsidR="00893CA3" w:rsidRDefault="00D97B16" w:rsidP="00D97B16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lastRenderedPageBreak/>
        <w:t>Прогноз разработан на три года (часть 1 статьи 173) путем уточнения параметров 202</w:t>
      </w:r>
      <w:r w:rsidR="00E446C7">
        <w:rPr>
          <w:color w:val="auto"/>
          <w:sz w:val="28"/>
          <w:szCs w:val="28"/>
        </w:rPr>
        <w:t>5</w:t>
      </w:r>
      <w:r w:rsidRPr="00D97B16">
        <w:rPr>
          <w:color w:val="auto"/>
          <w:sz w:val="28"/>
          <w:szCs w:val="28"/>
        </w:rPr>
        <w:t>и 202</w:t>
      </w:r>
      <w:r w:rsidR="00E446C7">
        <w:rPr>
          <w:color w:val="auto"/>
          <w:sz w:val="28"/>
          <w:szCs w:val="28"/>
        </w:rPr>
        <w:t>7</w:t>
      </w:r>
      <w:r w:rsidRPr="00D97B16">
        <w:rPr>
          <w:color w:val="auto"/>
          <w:sz w:val="28"/>
          <w:szCs w:val="28"/>
        </w:rPr>
        <w:t>годов</w:t>
      </w:r>
      <w:r w:rsidR="00FF562C">
        <w:rPr>
          <w:color w:val="auto"/>
          <w:sz w:val="28"/>
          <w:szCs w:val="28"/>
        </w:rPr>
        <w:t xml:space="preserve"> и добавления параметров 202</w:t>
      </w:r>
      <w:r w:rsidR="00803353">
        <w:rPr>
          <w:color w:val="auto"/>
          <w:sz w:val="28"/>
          <w:szCs w:val="28"/>
        </w:rPr>
        <w:t>6</w:t>
      </w:r>
      <w:r w:rsidRPr="00D97B16">
        <w:rPr>
          <w:color w:val="auto"/>
          <w:sz w:val="28"/>
          <w:szCs w:val="28"/>
        </w:rPr>
        <w:t xml:space="preserve"> года (абзац 1 части 4 статьи 173 БК РФ). </w:t>
      </w:r>
    </w:p>
    <w:p w:rsidR="008567A9" w:rsidRPr="008567A9" w:rsidRDefault="00D97B16" w:rsidP="008567A9">
      <w:pPr>
        <w:spacing w:after="0" w:line="240" w:lineRule="auto"/>
        <w:rPr>
          <w:color w:val="auto"/>
          <w:sz w:val="28"/>
          <w:szCs w:val="28"/>
        </w:rPr>
      </w:pPr>
      <w:r w:rsidRPr="00D97B16">
        <w:rPr>
          <w:color w:val="auto"/>
          <w:sz w:val="28"/>
          <w:szCs w:val="28"/>
        </w:rPr>
        <w:t xml:space="preserve">В соответствии с пунктом </w:t>
      </w:r>
      <w:r w:rsidR="004874C8">
        <w:rPr>
          <w:color w:val="auto"/>
          <w:sz w:val="28"/>
          <w:szCs w:val="28"/>
        </w:rPr>
        <w:t>3</w:t>
      </w:r>
      <w:r w:rsidRPr="00D97B16">
        <w:rPr>
          <w:color w:val="auto"/>
          <w:sz w:val="28"/>
          <w:szCs w:val="28"/>
        </w:rPr>
        <w:t>.4. Порядка разработки прогнозов, прогноз содерж</w:t>
      </w:r>
      <w:r w:rsidR="004874C8">
        <w:rPr>
          <w:color w:val="auto"/>
          <w:sz w:val="28"/>
          <w:szCs w:val="28"/>
        </w:rPr>
        <w:t>ит</w:t>
      </w:r>
      <w:r w:rsidRPr="00D97B16">
        <w:rPr>
          <w:color w:val="auto"/>
          <w:sz w:val="28"/>
          <w:szCs w:val="28"/>
        </w:rPr>
        <w:t xml:space="preserve"> </w:t>
      </w:r>
      <w:r w:rsidR="008567A9" w:rsidRPr="008567A9">
        <w:rPr>
          <w:color w:val="auto"/>
          <w:sz w:val="28"/>
          <w:szCs w:val="28"/>
        </w:rPr>
        <w:t>следующие прогнозируемые количественные характеристики:</w:t>
      </w:r>
    </w:p>
    <w:p w:rsidR="008567A9" w:rsidRPr="008567A9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8567A9">
        <w:rPr>
          <w:color w:val="auto"/>
          <w:sz w:val="28"/>
          <w:szCs w:val="28"/>
        </w:rPr>
        <w:t>инфляция;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промышленное производство;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инвестиции;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рынок товаров и услуг;</w:t>
      </w:r>
    </w:p>
    <w:p w:rsidR="008567A9" w:rsidRPr="000F1321" w:rsidRDefault="008567A9" w:rsidP="008567A9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денежные доходы населения;</w:t>
      </w:r>
    </w:p>
    <w:p w:rsidR="00344DC1" w:rsidRPr="00344DC1" w:rsidRDefault="008567A9" w:rsidP="000F1321">
      <w:pPr>
        <w:spacing w:after="0" w:line="240" w:lineRule="auto"/>
        <w:rPr>
          <w:color w:val="auto"/>
          <w:sz w:val="28"/>
          <w:szCs w:val="28"/>
        </w:rPr>
      </w:pPr>
      <w:r w:rsidRPr="000F1321">
        <w:rPr>
          <w:color w:val="auto"/>
          <w:sz w:val="28"/>
          <w:szCs w:val="28"/>
        </w:rPr>
        <w:t>рынок труда, занятость населения.</w:t>
      </w:r>
      <w:r w:rsidR="004874C8">
        <w:rPr>
          <w:color w:val="auto"/>
          <w:sz w:val="28"/>
          <w:szCs w:val="28"/>
        </w:rPr>
        <w:t xml:space="preserve">    </w:t>
      </w:r>
      <w:r w:rsidR="00344DC1">
        <w:rPr>
          <w:color w:val="auto"/>
          <w:sz w:val="28"/>
          <w:szCs w:val="28"/>
        </w:rPr>
        <w:t xml:space="preserve"> </w:t>
      </w:r>
    </w:p>
    <w:p w:rsidR="00F3162F" w:rsidRDefault="000D55A7" w:rsidP="000D55A7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0D55A7">
        <w:rPr>
          <w:color w:val="auto"/>
          <w:sz w:val="28"/>
          <w:szCs w:val="28"/>
        </w:rPr>
        <w:t>Прогнозные, оценочные и фактические данные отдельных показателей социально-экономического развития</w:t>
      </w:r>
      <w:r w:rsidR="004D462C" w:rsidRPr="004D462C">
        <w:rPr>
          <w:color w:val="auto"/>
          <w:sz w:val="28"/>
          <w:szCs w:val="28"/>
        </w:rPr>
        <w:t xml:space="preserve"> город Яровое</w:t>
      </w:r>
      <w:r w:rsidRPr="000D55A7">
        <w:rPr>
          <w:color w:val="auto"/>
          <w:sz w:val="28"/>
          <w:szCs w:val="28"/>
        </w:rPr>
        <w:t xml:space="preserve"> Алтайского края 202</w:t>
      </w:r>
      <w:r w:rsidR="004D462C">
        <w:rPr>
          <w:color w:val="auto"/>
          <w:sz w:val="28"/>
          <w:szCs w:val="28"/>
        </w:rPr>
        <w:t>1</w:t>
      </w:r>
      <w:r w:rsidRPr="000D55A7">
        <w:rPr>
          <w:color w:val="auto"/>
          <w:sz w:val="28"/>
          <w:szCs w:val="28"/>
        </w:rPr>
        <w:t>-202</w:t>
      </w:r>
      <w:r w:rsidR="004D462C">
        <w:rPr>
          <w:color w:val="auto"/>
          <w:sz w:val="28"/>
          <w:szCs w:val="28"/>
        </w:rPr>
        <w:t>5</w:t>
      </w:r>
      <w:r w:rsidRPr="000D55A7">
        <w:rPr>
          <w:color w:val="auto"/>
          <w:sz w:val="28"/>
          <w:szCs w:val="28"/>
        </w:rPr>
        <w:t>годов (темпы роста (снижения) в сопоставимых ценах) представлены в следующей таблице:</w:t>
      </w:r>
      <w:r w:rsidR="005B0E18">
        <w:rPr>
          <w:color w:val="auto"/>
          <w:sz w:val="28"/>
          <w:szCs w:val="28"/>
        </w:rPr>
        <w:t xml:space="preserve"> </w:t>
      </w:r>
    </w:p>
    <w:tbl>
      <w:tblPr>
        <w:tblW w:w="101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8"/>
        <w:gridCol w:w="984"/>
        <w:gridCol w:w="935"/>
        <w:gridCol w:w="861"/>
        <w:gridCol w:w="939"/>
        <w:gridCol w:w="856"/>
        <w:gridCol w:w="949"/>
        <w:gridCol w:w="803"/>
        <w:gridCol w:w="835"/>
      </w:tblGrid>
      <w:tr w:rsidR="000D55A7" w:rsidRPr="000D55A7" w:rsidTr="00E70EE2">
        <w:trPr>
          <w:trHeight w:val="283"/>
          <w:jc w:val="center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3</w:t>
            </w:r>
            <w:r w:rsidRPr="000D55A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4</w:t>
            </w:r>
            <w:r w:rsidRPr="000D55A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5</w:t>
            </w:r>
            <w:r w:rsidRPr="000D55A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8C13A5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0D55A7" w:rsidRPr="000D55A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7</w:t>
            </w:r>
            <w:r w:rsidRPr="000D55A7">
              <w:rPr>
                <w:sz w:val="16"/>
                <w:szCs w:val="16"/>
              </w:rPr>
              <w:t xml:space="preserve"> год</w:t>
            </w:r>
          </w:p>
        </w:tc>
      </w:tr>
      <w:tr w:rsidR="00B61BC1" w:rsidRPr="000D55A7" w:rsidTr="00E70EE2">
        <w:trPr>
          <w:trHeight w:val="401"/>
          <w:jc w:val="center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факт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прогноз</w:t>
            </w:r>
          </w:p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4</w:t>
            </w:r>
            <w:r w:rsidRPr="000D55A7">
              <w:rPr>
                <w:sz w:val="16"/>
                <w:szCs w:val="16"/>
              </w:rPr>
              <w:t>-202</w:t>
            </w:r>
            <w:r w:rsidR="008C13A5">
              <w:rPr>
                <w:sz w:val="16"/>
                <w:szCs w:val="1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оценка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прогноз</w:t>
            </w:r>
          </w:p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4</w:t>
            </w:r>
            <w:r w:rsidRPr="000D55A7">
              <w:rPr>
                <w:sz w:val="16"/>
                <w:szCs w:val="16"/>
              </w:rPr>
              <w:t>-202</w:t>
            </w:r>
            <w:r w:rsidR="008C13A5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прогноз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прогноз</w:t>
            </w:r>
          </w:p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202</w:t>
            </w:r>
            <w:r w:rsidR="008C13A5">
              <w:rPr>
                <w:sz w:val="16"/>
                <w:szCs w:val="16"/>
              </w:rPr>
              <w:t>4</w:t>
            </w:r>
            <w:r w:rsidRPr="000D55A7">
              <w:rPr>
                <w:sz w:val="16"/>
                <w:szCs w:val="16"/>
              </w:rPr>
              <w:t>-202</w:t>
            </w:r>
            <w:r w:rsidR="008C13A5">
              <w:rPr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прогноз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5A7" w:rsidRPr="000D55A7" w:rsidRDefault="000D55A7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0D55A7">
              <w:rPr>
                <w:sz w:val="16"/>
                <w:szCs w:val="16"/>
              </w:rPr>
              <w:t>прогноз</w:t>
            </w:r>
          </w:p>
        </w:tc>
      </w:tr>
      <w:tr w:rsidR="00313E9C" w:rsidRPr="000D55A7" w:rsidTr="00E70EE2">
        <w:trPr>
          <w:trHeight w:val="401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3E9C" w:rsidRPr="00313E9C" w:rsidRDefault="00313E9C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313E9C">
              <w:rPr>
                <w:color w:val="auto"/>
                <w:sz w:val="20"/>
                <w:szCs w:val="20"/>
              </w:rPr>
              <w:t>Объема отгруженных товаров</w:t>
            </w:r>
            <w:r>
              <w:rPr>
                <w:color w:val="auto"/>
                <w:sz w:val="20"/>
                <w:szCs w:val="20"/>
              </w:rPr>
              <w:t xml:space="preserve"> (работ, услуг) в сфере производства промышленной продукции (млн. руб.)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13E9C">
              <w:rPr>
                <w:sz w:val="20"/>
                <w:szCs w:val="20"/>
              </w:rPr>
              <w:t>1410,6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13E9C">
              <w:rPr>
                <w:sz w:val="20"/>
                <w:szCs w:val="20"/>
              </w:rPr>
              <w:t>1629,6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13E9C">
              <w:rPr>
                <w:sz w:val="20"/>
                <w:szCs w:val="20"/>
              </w:rPr>
              <w:t>2156,4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13E9C">
              <w:rPr>
                <w:sz w:val="20"/>
                <w:szCs w:val="20"/>
              </w:rPr>
              <w:t>2257,6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E9C" w:rsidRPr="00313E9C" w:rsidRDefault="00313E9C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13E9C">
              <w:rPr>
                <w:sz w:val="20"/>
                <w:szCs w:val="20"/>
              </w:rPr>
              <w:t>2359,4</w:t>
            </w:r>
          </w:p>
        </w:tc>
      </w:tr>
      <w:tr w:rsidR="00B61BC1" w:rsidRPr="000D55A7" w:rsidTr="00E70EE2">
        <w:trPr>
          <w:trHeight w:val="58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Индекс потребительских цен</w:t>
            </w:r>
          </w:p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(декабрь к декабрю</w:t>
            </w:r>
          </w:p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предыдущего года),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E70EE2">
            <w:pPr>
              <w:tabs>
                <w:tab w:val="left" w:pos="2205"/>
              </w:tabs>
              <w:spacing w:after="0" w:line="240" w:lineRule="auto"/>
              <w:ind w:left="-235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F3162F" w:rsidP="00F3162F">
            <w:pPr>
              <w:tabs>
                <w:tab w:val="left" w:pos="2205"/>
              </w:tabs>
              <w:spacing w:after="0" w:line="240" w:lineRule="auto"/>
              <w:ind w:left="-394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104,0</w:t>
            </w:r>
          </w:p>
        </w:tc>
      </w:tr>
      <w:tr w:rsidR="00B61BC1" w:rsidRPr="000D55A7" w:rsidTr="00E70EE2">
        <w:trPr>
          <w:trHeight w:val="39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E75D4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125,3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5D485F">
            <w:pPr>
              <w:tabs>
                <w:tab w:val="left" w:pos="2205"/>
              </w:tabs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AE75D4">
              <w:rPr>
                <w:color w:val="auto"/>
                <w:sz w:val="20"/>
                <w:szCs w:val="20"/>
              </w:rPr>
              <w:t>124,0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E75D4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E75D4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E75D4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126,3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E70EE2" w:rsidP="00E70EE2">
            <w:pPr>
              <w:tabs>
                <w:tab w:val="left" w:pos="2205"/>
              </w:tabs>
              <w:spacing w:after="0" w:line="240" w:lineRule="auto"/>
              <w:ind w:left="-23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 w:rsidR="00AE75D4">
              <w:rPr>
                <w:color w:val="auto"/>
                <w:sz w:val="20"/>
                <w:szCs w:val="20"/>
              </w:rPr>
              <w:t>100,9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E75D4" w:rsidP="00AE75D4">
            <w:pPr>
              <w:tabs>
                <w:tab w:val="left" w:pos="2205"/>
              </w:tabs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101,3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AE75D4" w:rsidP="00AE75D4">
            <w:pPr>
              <w:tabs>
                <w:tab w:val="left" w:pos="2205"/>
              </w:tabs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101,0</w:t>
            </w:r>
          </w:p>
        </w:tc>
      </w:tr>
      <w:tr w:rsidR="00B61BC1" w:rsidRPr="000D55A7" w:rsidTr="00E70EE2">
        <w:trPr>
          <w:trHeight w:val="35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Инвестиции в основной капитал,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113,4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E70EE2">
            <w:pPr>
              <w:tabs>
                <w:tab w:val="left" w:pos="2205"/>
              </w:tabs>
              <w:spacing w:after="0" w:line="240" w:lineRule="auto"/>
              <w:ind w:left="-235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A6301A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104,4</w:t>
            </w:r>
          </w:p>
        </w:tc>
      </w:tr>
      <w:tr w:rsidR="00B61BC1" w:rsidRPr="000D55A7" w:rsidTr="00E70EE2">
        <w:trPr>
          <w:trHeight w:val="396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Оборот розничной торговли,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E70EE2">
            <w:pPr>
              <w:tabs>
                <w:tab w:val="left" w:pos="2205"/>
              </w:tabs>
              <w:spacing w:after="0" w:line="240" w:lineRule="auto"/>
              <w:ind w:left="-235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5D2D46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107,3</w:t>
            </w:r>
          </w:p>
        </w:tc>
      </w:tr>
      <w:tr w:rsidR="00B61BC1" w:rsidRPr="000D55A7" w:rsidTr="00E70EE2">
        <w:trPr>
          <w:trHeight w:val="401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Объем платных услуг населению,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5664B">
              <w:rPr>
                <w:color w:val="auto"/>
                <w:sz w:val="20"/>
                <w:szCs w:val="20"/>
              </w:rPr>
              <w:t>107,2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5664B">
              <w:rPr>
                <w:color w:val="auto"/>
                <w:sz w:val="20"/>
                <w:szCs w:val="20"/>
              </w:rPr>
              <w:t>104,3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E70EE2">
            <w:pPr>
              <w:tabs>
                <w:tab w:val="left" w:pos="2205"/>
              </w:tabs>
              <w:spacing w:after="0" w:line="240" w:lineRule="auto"/>
              <w:ind w:left="-235" w:firstLine="360"/>
              <w:jc w:val="center"/>
              <w:rPr>
                <w:color w:val="auto"/>
                <w:sz w:val="20"/>
                <w:szCs w:val="20"/>
              </w:rPr>
            </w:pPr>
            <w:r w:rsidRPr="00B5664B">
              <w:rPr>
                <w:color w:val="auto"/>
                <w:sz w:val="20"/>
                <w:szCs w:val="20"/>
              </w:rPr>
              <w:t>107,3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5D485F" w:rsidP="005D485F">
            <w:pPr>
              <w:tabs>
                <w:tab w:val="left" w:pos="2205"/>
              </w:tabs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5664B">
              <w:rPr>
                <w:color w:val="auto"/>
                <w:sz w:val="20"/>
                <w:szCs w:val="20"/>
              </w:rPr>
              <w:t xml:space="preserve">    104,9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5D485F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107,0</w:t>
            </w:r>
          </w:p>
        </w:tc>
      </w:tr>
      <w:tr w:rsidR="00B61BC1" w:rsidRPr="000D55A7" w:rsidTr="00E70EE2">
        <w:trPr>
          <w:trHeight w:val="401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Реальная заработная плата,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114,3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103,7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E70EE2">
            <w:pPr>
              <w:tabs>
                <w:tab w:val="left" w:pos="2205"/>
              </w:tabs>
              <w:spacing w:after="0" w:line="240" w:lineRule="auto"/>
              <w:ind w:left="-235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8A1732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102,4</w:t>
            </w:r>
          </w:p>
        </w:tc>
      </w:tr>
      <w:tr w:rsidR="00B61BC1" w:rsidRPr="000D55A7" w:rsidTr="00E70EE2">
        <w:trPr>
          <w:trHeight w:val="92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4D462C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>Темп роста начисленной средней заработной платы одного работника, % (в действующих ценах)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E70EE2">
            <w:pPr>
              <w:tabs>
                <w:tab w:val="left" w:pos="2205"/>
              </w:tabs>
              <w:spacing w:after="0" w:line="240" w:lineRule="auto"/>
              <w:ind w:left="-235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4D55E2" w:rsidP="00F3162F">
            <w:pPr>
              <w:tabs>
                <w:tab w:val="left" w:pos="2205"/>
              </w:tabs>
              <w:spacing w:after="0" w:line="240" w:lineRule="auto"/>
              <w:ind w:left="0" w:firstLine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106,5</w:t>
            </w:r>
          </w:p>
        </w:tc>
      </w:tr>
      <w:tr w:rsidR="00B61BC1" w:rsidRPr="000D55A7" w:rsidTr="00E70EE2">
        <w:trPr>
          <w:trHeight w:val="64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55A7" w:rsidRPr="000D55A7" w:rsidRDefault="000D55A7" w:rsidP="00B61BC1">
            <w:pPr>
              <w:tabs>
                <w:tab w:val="left" w:pos="2205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D55A7">
              <w:rPr>
                <w:sz w:val="20"/>
                <w:szCs w:val="20"/>
              </w:rPr>
              <w:t xml:space="preserve">Численность </w:t>
            </w:r>
            <w:r w:rsidR="00B61BC1">
              <w:rPr>
                <w:sz w:val="20"/>
                <w:szCs w:val="20"/>
              </w:rPr>
              <w:t>трудовых ресурсов</w:t>
            </w:r>
            <w:r w:rsidRPr="000D55A7">
              <w:rPr>
                <w:sz w:val="20"/>
                <w:szCs w:val="20"/>
              </w:rPr>
              <w:t xml:space="preserve">, тыс. чел.,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9164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E70EE2">
            <w:pPr>
              <w:tabs>
                <w:tab w:val="left" w:pos="2205"/>
              </w:tabs>
              <w:spacing w:after="0" w:line="240" w:lineRule="auto"/>
              <w:ind w:left="-23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9551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8802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5A7" w:rsidRPr="000D55A7" w:rsidRDefault="00B61BC1" w:rsidP="00F3162F">
            <w:pPr>
              <w:tabs>
                <w:tab w:val="left" w:pos="2205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8989</w:t>
            </w:r>
          </w:p>
        </w:tc>
      </w:tr>
    </w:tbl>
    <w:p w:rsidR="00A7325C" w:rsidRPr="00A7325C" w:rsidRDefault="00A7325C" w:rsidP="00A7325C">
      <w:pPr>
        <w:spacing w:after="0" w:line="240" w:lineRule="auto"/>
        <w:ind w:firstLine="265"/>
        <w:rPr>
          <w:color w:val="auto"/>
          <w:sz w:val="20"/>
          <w:szCs w:val="20"/>
        </w:rPr>
      </w:pPr>
      <w:r w:rsidRPr="00A7325C">
        <w:rPr>
          <w:color w:val="auto"/>
          <w:sz w:val="20"/>
          <w:szCs w:val="20"/>
        </w:rPr>
        <w:t>факт - фактические показатели социально-экономического развития г. \Яровое Алтайского края; прогноз 2024-2026 - прогнозные показатели социально-экономического развития  г. \Яровое Алтайского края представленные в материалах к проекту городского бюджета на 2024 год и на плановый период 2025 и 2026 годов;</w:t>
      </w:r>
    </w:p>
    <w:p w:rsidR="00A7325C" w:rsidRPr="00A7325C" w:rsidRDefault="00A7325C" w:rsidP="00A7325C">
      <w:pPr>
        <w:spacing w:after="0" w:line="240" w:lineRule="auto"/>
        <w:ind w:firstLine="265"/>
        <w:rPr>
          <w:color w:val="auto"/>
          <w:sz w:val="20"/>
          <w:szCs w:val="20"/>
        </w:rPr>
      </w:pPr>
      <w:r w:rsidRPr="00A7325C">
        <w:rPr>
          <w:color w:val="auto"/>
          <w:sz w:val="20"/>
          <w:szCs w:val="20"/>
        </w:rPr>
        <w:t>оценка - оценочные показатели социально-экономического развития Алтайского края на 2025 год представленные в материалах к проекту городского бюджета на 2025 год и на плановый период 2026 и 2027 годов;</w:t>
      </w:r>
    </w:p>
    <w:p w:rsidR="000D55A7" w:rsidRPr="00A7325C" w:rsidRDefault="00A7325C" w:rsidP="00A7325C">
      <w:pPr>
        <w:spacing w:after="0" w:line="240" w:lineRule="auto"/>
        <w:ind w:firstLine="265"/>
        <w:rPr>
          <w:color w:val="auto"/>
          <w:sz w:val="20"/>
          <w:szCs w:val="20"/>
        </w:rPr>
      </w:pPr>
      <w:r w:rsidRPr="00A7325C">
        <w:rPr>
          <w:color w:val="auto"/>
          <w:sz w:val="20"/>
          <w:szCs w:val="20"/>
        </w:rPr>
        <w:t>прогноз - прогнозные показатели социально-экономического развития Алтайского края, представленные в материалах к проекту городского бюджета на 2025 год и на плановый период 2026 и 2027 годов.</w:t>
      </w:r>
    </w:p>
    <w:p w:rsidR="00BF56C6" w:rsidRDefault="00DB01D5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>В Прогнозе изменены отдельные показатели на 202</w:t>
      </w:r>
      <w:r>
        <w:rPr>
          <w:color w:val="auto"/>
          <w:sz w:val="28"/>
          <w:szCs w:val="28"/>
        </w:rPr>
        <w:t>5</w:t>
      </w:r>
      <w:r w:rsidRPr="00DB01D5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6</w:t>
      </w:r>
      <w:r w:rsidRPr="00DB01D5">
        <w:rPr>
          <w:color w:val="auto"/>
          <w:sz w:val="28"/>
          <w:szCs w:val="28"/>
        </w:rPr>
        <w:t xml:space="preserve"> годы по сравнению с соответствующими показателями, заложенными в основу формирования </w:t>
      </w:r>
      <w:r>
        <w:rPr>
          <w:color w:val="auto"/>
          <w:sz w:val="28"/>
          <w:szCs w:val="28"/>
        </w:rPr>
        <w:t>городского</w:t>
      </w:r>
      <w:r w:rsidRPr="00DB01D5">
        <w:rPr>
          <w:color w:val="auto"/>
          <w:sz w:val="28"/>
          <w:szCs w:val="28"/>
        </w:rPr>
        <w:t xml:space="preserve"> бюджета на 202</w:t>
      </w:r>
      <w:r>
        <w:rPr>
          <w:color w:val="auto"/>
          <w:sz w:val="28"/>
          <w:szCs w:val="28"/>
        </w:rPr>
        <w:t>4</w:t>
      </w:r>
      <w:r w:rsidRPr="00DB01D5">
        <w:rPr>
          <w:color w:val="auto"/>
          <w:sz w:val="28"/>
          <w:szCs w:val="28"/>
        </w:rPr>
        <w:t xml:space="preserve"> год и на плановый период 202</w:t>
      </w:r>
      <w:r>
        <w:rPr>
          <w:color w:val="auto"/>
          <w:sz w:val="28"/>
          <w:szCs w:val="28"/>
        </w:rPr>
        <w:t>5</w:t>
      </w:r>
      <w:r w:rsidRPr="00DB01D5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6</w:t>
      </w:r>
      <w:r w:rsidRPr="00DB01D5">
        <w:rPr>
          <w:color w:val="auto"/>
          <w:sz w:val="28"/>
          <w:szCs w:val="28"/>
        </w:rPr>
        <w:t xml:space="preserve"> годов в октябре 202</w:t>
      </w:r>
      <w:r>
        <w:rPr>
          <w:color w:val="auto"/>
          <w:sz w:val="28"/>
          <w:szCs w:val="28"/>
        </w:rPr>
        <w:t>3</w:t>
      </w:r>
      <w:r w:rsidRPr="00DB01D5">
        <w:rPr>
          <w:color w:val="auto"/>
          <w:sz w:val="28"/>
          <w:szCs w:val="28"/>
        </w:rPr>
        <w:t xml:space="preserve"> года. Во исполнение требований 173 Бюджетного кодекса Российской Федерации</w:t>
      </w:r>
      <w:r w:rsidR="00BF56C6">
        <w:rPr>
          <w:color w:val="auto"/>
          <w:sz w:val="28"/>
          <w:szCs w:val="28"/>
        </w:rPr>
        <w:t xml:space="preserve">. </w:t>
      </w:r>
    </w:p>
    <w:p w:rsidR="00DB01D5" w:rsidRPr="00DB01D5" w:rsidRDefault="00DB01D5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 xml:space="preserve">Корректировка основных параметров базового варианта Прогноза по сравнению с вариантом прогноза, предложенным для разработки проекта </w:t>
      </w:r>
      <w:r w:rsidR="00F2012B">
        <w:rPr>
          <w:color w:val="auto"/>
          <w:sz w:val="28"/>
          <w:szCs w:val="28"/>
        </w:rPr>
        <w:t xml:space="preserve">городского </w:t>
      </w:r>
      <w:r w:rsidRPr="00DB01D5">
        <w:rPr>
          <w:color w:val="auto"/>
          <w:sz w:val="28"/>
          <w:szCs w:val="28"/>
        </w:rPr>
        <w:t>бюджета на трехлетний период 202</w:t>
      </w:r>
      <w:r w:rsidR="00F2012B">
        <w:rPr>
          <w:color w:val="auto"/>
          <w:sz w:val="28"/>
          <w:szCs w:val="28"/>
        </w:rPr>
        <w:t>5</w:t>
      </w:r>
      <w:r w:rsidRPr="00DB01D5">
        <w:rPr>
          <w:color w:val="auto"/>
          <w:sz w:val="28"/>
          <w:szCs w:val="28"/>
        </w:rPr>
        <w:t>-202</w:t>
      </w:r>
      <w:r w:rsidR="00F2012B">
        <w:rPr>
          <w:color w:val="auto"/>
          <w:sz w:val="28"/>
          <w:szCs w:val="28"/>
        </w:rPr>
        <w:t>7</w:t>
      </w:r>
      <w:r w:rsidRPr="00DB01D5">
        <w:rPr>
          <w:color w:val="auto"/>
          <w:sz w:val="28"/>
          <w:szCs w:val="28"/>
        </w:rPr>
        <w:t xml:space="preserve"> годов, обусловлена </w:t>
      </w:r>
      <w:r w:rsidRPr="00DB01D5">
        <w:rPr>
          <w:color w:val="auto"/>
          <w:sz w:val="28"/>
          <w:szCs w:val="28"/>
        </w:rPr>
        <w:lastRenderedPageBreak/>
        <w:t xml:space="preserve">изменением как внутренних, так и внешних условий развития </w:t>
      </w:r>
      <w:r w:rsidR="00F2012B">
        <w:rPr>
          <w:color w:val="auto"/>
          <w:sz w:val="28"/>
          <w:szCs w:val="28"/>
        </w:rPr>
        <w:t xml:space="preserve">города Яровое </w:t>
      </w:r>
      <w:r w:rsidRPr="00DB01D5">
        <w:rPr>
          <w:color w:val="auto"/>
          <w:sz w:val="28"/>
          <w:szCs w:val="28"/>
        </w:rPr>
        <w:t xml:space="preserve">Алтайского края. </w:t>
      </w:r>
    </w:p>
    <w:p w:rsidR="00DB01D5" w:rsidRPr="00DB01D5" w:rsidRDefault="00DB01D5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>Прогнозные показатели, предложенные на 202</w:t>
      </w:r>
      <w:r w:rsidR="00F2012B">
        <w:rPr>
          <w:color w:val="auto"/>
          <w:sz w:val="28"/>
          <w:szCs w:val="28"/>
        </w:rPr>
        <w:t>5</w:t>
      </w:r>
      <w:r w:rsidRPr="00DB01D5">
        <w:rPr>
          <w:color w:val="auto"/>
          <w:sz w:val="28"/>
          <w:szCs w:val="28"/>
        </w:rPr>
        <w:t xml:space="preserve"> и 202</w:t>
      </w:r>
      <w:r w:rsidR="00F2012B">
        <w:rPr>
          <w:color w:val="auto"/>
          <w:sz w:val="28"/>
          <w:szCs w:val="28"/>
        </w:rPr>
        <w:t>6</w:t>
      </w:r>
      <w:r w:rsidRPr="00DB01D5">
        <w:rPr>
          <w:color w:val="auto"/>
          <w:sz w:val="28"/>
          <w:szCs w:val="28"/>
        </w:rPr>
        <w:t xml:space="preserve"> годы в предыдущем бюджетном цикле, пересмотрены в сторону </w:t>
      </w:r>
      <w:r w:rsidRPr="00BF56C6">
        <w:rPr>
          <w:color w:val="auto"/>
          <w:sz w:val="28"/>
          <w:szCs w:val="28"/>
        </w:rPr>
        <w:t>незначительного замедления, за</w:t>
      </w:r>
      <w:r w:rsidRPr="00DB01D5">
        <w:rPr>
          <w:color w:val="auto"/>
          <w:sz w:val="28"/>
          <w:szCs w:val="28"/>
        </w:rPr>
        <w:t xml:space="preserve"> исключением показателей промышленного производства</w:t>
      </w:r>
      <w:r w:rsidR="00BB706C">
        <w:rPr>
          <w:color w:val="auto"/>
          <w:sz w:val="28"/>
          <w:szCs w:val="28"/>
        </w:rPr>
        <w:t xml:space="preserve"> и инвестиций в основной капитал. П</w:t>
      </w:r>
      <w:r w:rsidR="00BB706C" w:rsidRPr="00DB01D5">
        <w:rPr>
          <w:color w:val="auto"/>
          <w:sz w:val="28"/>
          <w:szCs w:val="28"/>
        </w:rPr>
        <w:t>оказатели</w:t>
      </w:r>
      <w:r w:rsidR="00BB706C">
        <w:rPr>
          <w:color w:val="auto"/>
          <w:sz w:val="28"/>
          <w:szCs w:val="28"/>
        </w:rPr>
        <w:t xml:space="preserve"> р</w:t>
      </w:r>
      <w:r w:rsidRPr="00DB01D5">
        <w:rPr>
          <w:color w:val="auto"/>
          <w:sz w:val="28"/>
          <w:szCs w:val="28"/>
        </w:rPr>
        <w:t>озничной торговли</w:t>
      </w:r>
      <w:r w:rsidR="00BB706C">
        <w:rPr>
          <w:color w:val="auto"/>
          <w:sz w:val="28"/>
          <w:szCs w:val="28"/>
        </w:rPr>
        <w:t>,</w:t>
      </w:r>
      <w:r w:rsidRPr="00DB01D5">
        <w:rPr>
          <w:color w:val="auto"/>
          <w:sz w:val="28"/>
          <w:szCs w:val="28"/>
        </w:rPr>
        <w:t xml:space="preserve"> средней заработной платы и потребительских цен</w:t>
      </w:r>
      <w:r w:rsidR="00BB706C">
        <w:rPr>
          <w:color w:val="auto"/>
          <w:sz w:val="28"/>
          <w:szCs w:val="28"/>
        </w:rPr>
        <w:t xml:space="preserve"> </w:t>
      </w:r>
      <w:r w:rsidRPr="00DB01D5">
        <w:rPr>
          <w:color w:val="auto"/>
          <w:sz w:val="28"/>
          <w:szCs w:val="28"/>
        </w:rPr>
        <w:t>в целом сохранены на прежнем уровне.</w:t>
      </w:r>
    </w:p>
    <w:p w:rsidR="00FD17CD" w:rsidRDefault="00DB01D5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>Повышена прогнозная оценка (в сопоставимых ценах) на 202</w:t>
      </w:r>
      <w:r w:rsidR="00FD17CD">
        <w:rPr>
          <w:color w:val="auto"/>
          <w:sz w:val="28"/>
          <w:szCs w:val="28"/>
        </w:rPr>
        <w:t>5</w:t>
      </w:r>
      <w:r w:rsidRPr="00DB01D5">
        <w:rPr>
          <w:color w:val="auto"/>
          <w:sz w:val="28"/>
          <w:szCs w:val="28"/>
        </w:rPr>
        <w:t xml:space="preserve"> год показателя промышленного производства (на </w:t>
      </w:r>
      <w:r w:rsidR="00FD17CD">
        <w:rPr>
          <w:color w:val="auto"/>
          <w:sz w:val="28"/>
          <w:szCs w:val="28"/>
        </w:rPr>
        <w:t>25,6</w:t>
      </w:r>
      <w:r w:rsidR="007D1D60">
        <w:rPr>
          <w:color w:val="auto"/>
          <w:sz w:val="28"/>
          <w:szCs w:val="28"/>
        </w:rPr>
        <w:t xml:space="preserve"> процентного пункта). Индекс промышленного производства рассчитан методом дефлятирования, исходя из запланированного объема отгруженных товаров собственного производства, выполненных работ и услуг собственными силами.</w:t>
      </w:r>
    </w:p>
    <w:p w:rsidR="003E3734" w:rsidRDefault="000E67E1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2024 году, по оценке, объем отгруженных товаров (по крупным и средним предприятиям) может составить рост на 115,5% к уровню 2023 года, но снижение к прогнозному показателю на 2024-2026 </w:t>
      </w:r>
      <w:r w:rsidR="001903AA">
        <w:rPr>
          <w:color w:val="auto"/>
          <w:sz w:val="28"/>
          <w:szCs w:val="28"/>
        </w:rPr>
        <w:t>гг.</w:t>
      </w:r>
      <w:r>
        <w:rPr>
          <w:color w:val="auto"/>
          <w:sz w:val="28"/>
          <w:szCs w:val="28"/>
        </w:rPr>
        <w:t xml:space="preserve"> на 21%. </w:t>
      </w:r>
    </w:p>
    <w:p w:rsidR="001903AA" w:rsidRDefault="001903AA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среднесрочном периоде объем отгруженных товаров по сравнению с ранее утвержденными параметрами среднесрочного прогноза на 2024-2026 гг прогнозируется на уровне прошлого прогноза. </w:t>
      </w:r>
    </w:p>
    <w:p w:rsidR="000E67E1" w:rsidRDefault="00B00143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снижении объема </w:t>
      </w:r>
      <w:r w:rsidRPr="00B00143">
        <w:rPr>
          <w:color w:val="auto"/>
          <w:sz w:val="28"/>
          <w:szCs w:val="28"/>
        </w:rPr>
        <w:t>инвестиций в основной капитал</w:t>
      </w:r>
      <w:r>
        <w:rPr>
          <w:color w:val="auto"/>
          <w:sz w:val="28"/>
          <w:szCs w:val="28"/>
        </w:rPr>
        <w:t xml:space="preserve"> по сравнению с утвержденными параметрами на 2024-2026 гг. на 38,2%</w:t>
      </w:r>
      <w:r w:rsidR="00F32D53">
        <w:rPr>
          <w:color w:val="auto"/>
          <w:sz w:val="28"/>
          <w:szCs w:val="28"/>
        </w:rPr>
        <w:t xml:space="preserve"> сохраняется тенденция роста. </w:t>
      </w:r>
    </w:p>
    <w:p w:rsidR="00F32D53" w:rsidRDefault="00F32D53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DB01D5" w:rsidRPr="00DB01D5">
        <w:rPr>
          <w:color w:val="auto"/>
          <w:sz w:val="28"/>
          <w:szCs w:val="28"/>
        </w:rPr>
        <w:t>емп</w:t>
      </w:r>
      <w:r>
        <w:rPr>
          <w:color w:val="auto"/>
          <w:sz w:val="28"/>
          <w:szCs w:val="28"/>
        </w:rPr>
        <w:t>ы</w:t>
      </w:r>
      <w:r w:rsidR="00DB01D5" w:rsidRPr="00DB01D5">
        <w:rPr>
          <w:color w:val="auto"/>
          <w:sz w:val="28"/>
          <w:szCs w:val="28"/>
        </w:rPr>
        <w:t xml:space="preserve"> роста розничной торговли </w:t>
      </w:r>
      <w:r>
        <w:rPr>
          <w:color w:val="auto"/>
          <w:sz w:val="28"/>
          <w:szCs w:val="28"/>
        </w:rPr>
        <w:t>сохраняется на уровне прошлого прогноза.</w:t>
      </w:r>
    </w:p>
    <w:p w:rsidR="00F32D53" w:rsidRDefault="00F32D53" w:rsidP="00391E5C">
      <w:p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сравнению с утвержденными параметрами на 2024-2026 гг. </w:t>
      </w:r>
      <w:r w:rsidR="005E33F3">
        <w:rPr>
          <w:color w:val="auto"/>
          <w:sz w:val="28"/>
          <w:szCs w:val="28"/>
        </w:rPr>
        <w:t>темп</w:t>
      </w:r>
      <w:r w:rsidR="00DB01D5" w:rsidRPr="00DB01D5">
        <w:rPr>
          <w:color w:val="auto"/>
          <w:sz w:val="28"/>
          <w:szCs w:val="28"/>
        </w:rPr>
        <w:t xml:space="preserve"> роста платных услуг населению </w:t>
      </w:r>
      <w:r w:rsidR="005E33F3">
        <w:rPr>
          <w:color w:val="auto"/>
          <w:sz w:val="28"/>
          <w:szCs w:val="28"/>
        </w:rPr>
        <w:t xml:space="preserve">снижен на 4 процентных пункта в 2024 году, 2,9 в 2025 году, 2,4 в 2026 году при снижении объемов платных услуг населению. </w:t>
      </w:r>
    </w:p>
    <w:p w:rsidR="00CE2566" w:rsidRPr="00CE2566" w:rsidRDefault="00CE2566" w:rsidP="00CE2566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CE2566">
        <w:rPr>
          <w:color w:val="auto"/>
          <w:sz w:val="28"/>
          <w:szCs w:val="28"/>
        </w:rPr>
        <w:t xml:space="preserve">В пояснительной записке к проекту </w:t>
      </w:r>
      <w:r>
        <w:rPr>
          <w:color w:val="auto"/>
          <w:sz w:val="28"/>
          <w:szCs w:val="28"/>
        </w:rPr>
        <w:t xml:space="preserve">отсутствует </w:t>
      </w:r>
      <w:r w:rsidRPr="00CE2566">
        <w:rPr>
          <w:color w:val="auto"/>
          <w:sz w:val="28"/>
          <w:szCs w:val="28"/>
        </w:rPr>
        <w:t>сопоставление с ранее одобренными параметрами с указанием причин планируемых изменений</w:t>
      </w:r>
      <w:r w:rsidR="003E3734">
        <w:rPr>
          <w:color w:val="auto"/>
          <w:sz w:val="28"/>
          <w:szCs w:val="28"/>
        </w:rPr>
        <w:t xml:space="preserve"> по </w:t>
      </w:r>
      <w:r w:rsidR="003E3734" w:rsidRPr="003E3734">
        <w:rPr>
          <w:color w:val="auto"/>
          <w:sz w:val="28"/>
          <w:szCs w:val="28"/>
        </w:rPr>
        <w:t>объё</w:t>
      </w:r>
      <w:r w:rsidR="003E3734">
        <w:rPr>
          <w:color w:val="auto"/>
          <w:sz w:val="28"/>
          <w:szCs w:val="28"/>
        </w:rPr>
        <w:t>му</w:t>
      </w:r>
      <w:r w:rsidR="003E3734" w:rsidRPr="003E3734">
        <w:rPr>
          <w:color w:val="auto"/>
          <w:sz w:val="28"/>
          <w:szCs w:val="28"/>
        </w:rPr>
        <w:t xml:space="preserve"> платных услуг населению</w:t>
      </w:r>
      <w:r w:rsidR="003E3734">
        <w:rPr>
          <w:color w:val="auto"/>
          <w:sz w:val="28"/>
          <w:szCs w:val="28"/>
        </w:rPr>
        <w:t>.</w:t>
      </w:r>
      <w:bookmarkStart w:id="0" w:name="_GoBack"/>
      <w:bookmarkEnd w:id="0"/>
    </w:p>
    <w:p w:rsidR="00C668F1" w:rsidRDefault="00C668F1" w:rsidP="00C668F1">
      <w:pPr>
        <w:spacing w:after="0" w:line="240" w:lineRule="auto"/>
        <w:ind w:firstLine="69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 с миграционными процессами в 2023 наблюдается снижение ч</w:t>
      </w:r>
      <w:r w:rsidRPr="002B2A8D">
        <w:rPr>
          <w:color w:val="auto"/>
          <w:sz w:val="28"/>
          <w:szCs w:val="28"/>
        </w:rPr>
        <w:t>исленност</w:t>
      </w:r>
      <w:r>
        <w:rPr>
          <w:color w:val="auto"/>
          <w:sz w:val="28"/>
          <w:szCs w:val="28"/>
        </w:rPr>
        <w:t xml:space="preserve">и </w:t>
      </w:r>
      <w:r w:rsidRPr="002B2A8D">
        <w:rPr>
          <w:color w:val="auto"/>
          <w:sz w:val="28"/>
          <w:szCs w:val="28"/>
        </w:rPr>
        <w:t>трудовых ресурсов</w:t>
      </w:r>
      <w:r>
        <w:rPr>
          <w:color w:val="auto"/>
          <w:sz w:val="28"/>
          <w:szCs w:val="28"/>
        </w:rPr>
        <w:t xml:space="preserve"> по сравнению с ранее утвержденными параметрами на 2024-2026 гг.</w:t>
      </w:r>
    </w:p>
    <w:p w:rsidR="00C668F1" w:rsidRDefault="00A02004" w:rsidP="00A02004">
      <w:p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2025-2027 годах прогнозируется повышение уровня качества жизни населения муниципального образования. </w:t>
      </w:r>
    </w:p>
    <w:p w:rsidR="00BF56C6" w:rsidRDefault="00DB01D5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>Параметры прогноза показателей уровня жизни населения, предложенные в предыдущем бюджетном цикле на 202</w:t>
      </w:r>
      <w:r w:rsidR="00BF56C6">
        <w:rPr>
          <w:color w:val="auto"/>
          <w:sz w:val="28"/>
          <w:szCs w:val="28"/>
        </w:rPr>
        <w:t>4</w:t>
      </w:r>
      <w:r w:rsidRPr="00DB01D5">
        <w:rPr>
          <w:color w:val="auto"/>
          <w:sz w:val="28"/>
          <w:szCs w:val="28"/>
        </w:rPr>
        <w:t xml:space="preserve"> и 202</w:t>
      </w:r>
      <w:r w:rsidR="00BF56C6">
        <w:rPr>
          <w:color w:val="auto"/>
          <w:sz w:val="28"/>
          <w:szCs w:val="28"/>
        </w:rPr>
        <w:t>6</w:t>
      </w:r>
      <w:r w:rsidRPr="00DB01D5">
        <w:rPr>
          <w:color w:val="auto"/>
          <w:sz w:val="28"/>
          <w:szCs w:val="28"/>
        </w:rPr>
        <w:t xml:space="preserve"> годы, в отдельных случаях в Прогнозе пересмотрены в сторону незначительного понижения. </w:t>
      </w:r>
    </w:p>
    <w:p w:rsidR="00BF56C6" w:rsidRDefault="00DB01D5" w:rsidP="00DB01D5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>В 202</w:t>
      </w:r>
      <w:r w:rsidR="00BF56C6">
        <w:rPr>
          <w:color w:val="auto"/>
          <w:sz w:val="28"/>
          <w:szCs w:val="28"/>
        </w:rPr>
        <w:t>4</w:t>
      </w:r>
      <w:r w:rsidRPr="00DB01D5">
        <w:rPr>
          <w:color w:val="auto"/>
          <w:sz w:val="28"/>
          <w:szCs w:val="28"/>
        </w:rPr>
        <w:t xml:space="preserve"> году сократится темп роста реальной заработной платы на </w:t>
      </w:r>
      <w:r w:rsidR="00BF56C6">
        <w:rPr>
          <w:color w:val="auto"/>
          <w:sz w:val="28"/>
          <w:szCs w:val="28"/>
        </w:rPr>
        <w:t xml:space="preserve">2,5 процентного пункта. </w:t>
      </w:r>
    </w:p>
    <w:p w:rsidR="00E57A1F" w:rsidRDefault="00DB01D5" w:rsidP="00BF56C6">
      <w:pPr>
        <w:spacing w:after="0" w:line="240" w:lineRule="auto"/>
        <w:ind w:firstLine="690"/>
        <w:rPr>
          <w:color w:val="auto"/>
          <w:sz w:val="28"/>
          <w:szCs w:val="28"/>
        </w:rPr>
      </w:pPr>
      <w:r w:rsidRPr="00DB01D5">
        <w:rPr>
          <w:color w:val="auto"/>
          <w:sz w:val="28"/>
          <w:szCs w:val="28"/>
        </w:rPr>
        <w:t xml:space="preserve">В основе базового сценария Прогноза предусмотрен устойчивый экономический рост. Реализация </w:t>
      </w:r>
      <w:r w:rsidR="00BF56C6">
        <w:rPr>
          <w:color w:val="auto"/>
          <w:sz w:val="28"/>
          <w:szCs w:val="28"/>
        </w:rPr>
        <w:t xml:space="preserve">Администрацией г. Яровое Алтайского края </w:t>
      </w:r>
      <w:r w:rsidR="00BF56C6" w:rsidRPr="00DB01D5">
        <w:rPr>
          <w:color w:val="auto"/>
          <w:sz w:val="28"/>
          <w:szCs w:val="28"/>
        </w:rPr>
        <w:t>последовательной</w:t>
      </w:r>
      <w:r w:rsidRPr="00DB01D5">
        <w:rPr>
          <w:color w:val="auto"/>
          <w:sz w:val="28"/>
          <w:szCs w:val="28"/>
        </w:rPr>
        <w:t xml:space="preserve"> и согласованной экономической политики в прогнозируемом периоде должна обеспечить стабильность основных макроэкономических параметров</w:t>
      </w:r>
      <w:r w:rsidR="00BF56C6">
        <w:rPr>
          <w:color w:val="auto"/>
          <w:sz w:val="28"/>
          <w:szCs w:val="28"/>
        </w:rPr>
        <w:t xml:space="preserve"> </w:t>
      </w:r>
      <w:r w:rsidR="00B24D9A">
        <w:rPr>
          <w:color w:val="auto"/>
          <w:sz w:val="28"/>
          <w:szCs w:val="28"/>
        </w:rPr>
        <w:t xml:space="preserve">и </w:t>
      </w:r>
      <w:r w:rsidR="00B24D9A" w:rsidRPr="00BF56C6">
        <w:rPr>
          <w:color w:val="auto"/>
          <w:sz w:val="28"/>
          <w:szCs w:val="28"/>
        </w:rPr>
        <w:t>может использоваться при разработке проекта городского бюджета на 202</w:t>
      </w:r>
      <w:r w:rsidR="00391E5C">
        <w:rPr>
          <w:color w:val="auto"/>
          <w:sz w:val="28"/>
          <w:szCs w:val="28"/>
        </w:rPr>
        <w:t>5</w:t>
      </w:r>
      <w:r w:rsidR="00B24D9A" w:rsidRPr="00BF56C6">
        <w:rPr>
          <w:color w:val="auto"/>
          <w:sz w:val="28"/>
          <w:szCs w:val="28"/>
        </w:rPr>
        <w:t xml:space="preserve"> год и на плановый период 202</w:t>
      </w:r>
      <w:r w:rsidR="00391E5C">
        <w:rPr>
          <w:color w:val="auto"/>
          <w:sz w:val="28"/>
          <w:szCs w:val="28"/>
        </w:rPr>
        <w:t>6</w:t>
      </w:r>
      <w:r w:rsidR="00B24D9A" w:rsidRPr="00BF56C6">
        <w:rPr>
          <w:color w:val="auto"/>
          <w:sz w:val="28"/>
          <w:szCs w:val="28"/>
        </w:rPr>
        <w:t xml:space="preserve"> и 202</w:t>
      </w:r>
      <w:r w:rsidR="00391E5C">
        <w:rPr>
          <w:color w:val="auto"/>
          <w:sz w:val="28"/>
          <w:szCs w:val="28"/>
        </w:rPr>
        <w:t xml:space="preserve">7 </w:t>
      </w:r>
      <w:r w:rsidR="00B24D9A" w:rsidRPr="00BF56C6">
        <w:rPr>
          <w:color w:val="auto"/>
          <w:sz w:val="28"/>
          <w:szCs w:val="28"/>
        </w:rPr>
        <w:t>годов.</w:t>
      </w: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B24D9A" w:rsidRDefault="00C92A00" w:rsidP="00B24D9A">
      <w:pPr>
        <w:spacing w:after="47" w:line="240" w:lineRule="auto"/>
        <w:ind w:firstLine="407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0F0590" w:rsidRPr="00273368" w:rsidRDefault="00B24D9A" w:rsidP="00B24D9A">
      <w:pPr>
        <w:spacing w:after="47" w:line="240" w:lineRule="auto"/>
        <w:ind w:firstLine="407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E57A1F">
        <w:rPr>
          <w:color w:val="auto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Гладышева В.А.</w:t>
      </w:r>
    </w:p>
    <w:sectPr w:rsidR="000F0590" w:rsidRPr="00273368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2E" w:rsidRDefault="0094392E" w:rsidP="003F5C68">
      <w:pPr>
        <w:spacing w:after="0" w:line="240" w:lineRule="auto"/>
      </w:pPr>
      <w:r>
        <w:separator/>
      </w:r>
    </w:p>
  </w:endnote>
  <w:endnote w:type="continuationSeparator" w:id="0">
    <w:p w:rsidR="0094392E" w:rsidRDefault="0094392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D67601" w:rsidP="00B61BC1">
    <w:pPr>
      <w:pStyle w:val="a7"/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8E745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2E" w:rsidRDefault="0094392E" w:rsidP="003F5C68">
      <w:pPr>
        <w:spacing w:after="0" w:line="240" w:lineRule="auto"/>
      </w:pPr>
      <w:r>
        <w:separator/>
      </w:r>
    </w:p>
  </w:footnote>
  <w:footnote w:type="continuationSeparator" w:id="0">
    <w:p w:rsidR="0094392E" w:rsidRDefault="0094392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511A9"/>
    <w:rsid w:val="00061785"/>
    <w:rsid w:val="00066461"/>
    <w:rsid w:val="00080148"/>
    <w:rsid w:val="00095FF3"/>
    <w:rsid w:val="00096FD5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5A7"/>
    <w:rsid w:val="000D5CF2"/>
    <w:rsid w:val="000E1AC5"/>
    <w:rsid w:val="000E67E1"/>
    <w:rsid w:val="000F0590"/>
    <w:rsid w:val="000F1321"/>
    <w:rsid w:val="000F31C1"/>
    <w:rsid w:val="000F404B"/>
    <w:rsid w:val="000F44FB"/>
    <w:rsid w:val="00100324"/>
    <w:rsid w:val="00112BBB"/>
    <w:rsid w:val="00113575"/>
    <w:rsid w:val="0011431A"/>
    <w:rsid w:val="001254D2"/>
    <w:rsid w:val="0012771C"/>
    <w:rsid w:val="001312FF"/>
    <w:rsid w:val="0013288E"/>
    <w:rsid w:val="00133E89"/>
    <w:rsid w:val="0014282D"/>
    <w:rsid w:val="00151D56"/>
    <w:rsid w:val="00155234"/>
    <w:rsid w:val="00157936"/>
    <w:rsid w:val="00160B88"/>
    <w:rsid w:val="00162BAF"/>
    <w:rsid w:val="00167A0D"/>
    <w:rsid w:val="001725BB"/>
    <w:rsid w:val="0017528A"/>
    <w:rsid w:val="00183291"/>
    <w:rsid w:val="00183B9E"/>
    <w:rsid w:val="00184514"/>
    <w:rsid w:val="001903AA"/>
    <w:rsid w:val="001905B5"/>
    <w:rsid w:val="00194246"/>
    <w:rsid w:val="00195619"/>
    <w:rsid w:val="00197EE3"/>
    <w:rsid w:val="001A199A"/>
    <w:rsid w:val="001A5668"/>
    <w:rsid w:val="001A6B03"/>
    <w:rsid w:val="001B260B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5E49"/>
    <w:rsid w:val="00223E02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871DE"/>
    <w:rsid w:val="002922EE"/>
    <w:rsid w:val="00297FF5"/>
    <w:rsid w:val="002A3F99"/>
    <w:rsid w:val="002A4488"/>
    <w:rsid w:val="002A54B0"/>
    <w:rsid w:val="002A7887"/>
    <w:rsid w:val="002B1B2C"/>
    <w:rsid w:val="002B2A8D"/>
    <w:rsid w:val="002B7503"/>
    <w:rsid w:val="002C0D2D"/>
    <w:rsid w:val="002C20CA"/>
    <w:rsid w:val="002C3911"/>
    <w:rsid w:val="002C530E"/>
    <w:rsid w:val="002C72F2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3E9C"/>
    <w:rsid w:val="003158B0"/>
    <w:rsid w:val="00320B78"/>
    <w:rsid w:val="00325E65"/>
    <w:rsid w:val="00326944"/>
    <w:rsid w:val="00327F50"/>
    <w:rsid w:val="003318A2"/>
    <w:rsid w:val="00332E88"/>
    <w:rsid w:val="003333A6"/>
    <w:rsid w:val="00344DC1"/>
    <w:rsid w:val="0034534B"/>
    <w:rsid w:val="0034618A"/>
    <w:rsid w:val="00347E56"/>
    <w:rsid w:val="00352080"/>
    <w:rsid w:val="00357D0B"/>
    <w:rsid w:val="00362474"/>
    <w:rsid w:val="00371858"/>
    <w:rsid w:val="003719E4"/>
    <w:rsid w:val="0038007C"/>
    <w:rsid w:val="00383F0A"/>
    <w:rsid w:val="00391E5C"/>
    <w:rsid w:val="003941DF"/>
    <w:rsid w:val="00397CB8"/>
    <w:rsid w:val="003A1948"/>
    <w:rsid w:val="003A4174"/>
    <w:rsid w:val="003A5599"/>
    <w:rsid w:val="003B2C46"/>
    <w:rsid w:val="003B365C"/>
    <w:rsid w:val="003C0490"/>
    <w:rsid w:val="003D18F0"/>
    <w:rsid w:val="003D2E18"/>
    <w:rsid w:val="003D3972"/>
    <w:rsid w:val="003E3734"/>
    <w:rsid w:val="003F5C68"/>
    <w:rsid w:val="003F7D55"/>
    <w:rsid w:val="00413ECA"/>
    <w:rsid w:val="00413EE5"/>
    <w:rsid w:val="004273AD"/>
    <w:rsid w:val="004357DD"/>
    <w:rsid w:val="00445ACE"/>
    <w:rsid w:val="004500C7"/>
    <w:rsid w:val="00453DA4"/>
    <w:rsid w:val="00456127"/>
    <w:rsid w:val="004618E2"/>
    <w:rsid w:val="004706C6"/>
    <w:rsid w:val="00473A64"/>
    <w:rsid w:val="00481B66"/>
    <w:rsid w:val="00484E67"/>
    <w:rsid w:val="004874C8"/>
    <w:rsid w:val="00493215"/>
    <w:rsid w:val="00494533"/>
    <w:rsid w:val="00496E3F"/>
    <w:rsid w:val="00497A18"/>
    <w:rsid w:val="00497D8B"/>
    <w:rsid w:val="004A6BB1"/>
    <w:rsid w:val="004B0185"/>
    <w:rsid w:val="004B0203"/>
    <w:rsid w:val="004C5331"/>
    <w:rsid w:val="004D15AE"/>
    <w:rsid w:val="004D2F7B"/>
    <w:rsid w:val="004D462C"/>
    <w:rsid w:val="004D55E2"/>
    <w:rsid w:val="004E5999"/>
    <w:rsid w:val="004F1533"/>
    <w:rsid w:val="004F171A"/>
    <w:rsid w:val="004F4547"/>
    <w:rsid w:val="004F5791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05DB"/>
    <w:rsid w:val="0053154B"/>
    <w:rsid w:val="0053209C"/>
    <w:rsid w:val="005361CB"/>
    <w:rsid w:val="00536A7E"/>
    <w:rsid w:val="00537212"/>
    <w:rsid w:val="00537ABE"/>
    <w:rsid w:val="00556114"/>
    <w:rsid w:val="005612C6"/>
    <w:rsid w:val="00561420"/>
    <w:rsid w:val="005637F0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65A"/>
    <w:rsid w:val="005A6B41"/>
    <w:rsid w:val="005A7B01"/>
    <w:rsid w:val="005B0E18"/>
    <w:rsid w:val="005B6D3B"/>
    <w:rsid w:val="005B6DED"/>
    <w:rsid w:val="005B7EB4"/>
    <w:rsid w:val="005C1932"/>
    <w:rsid w:val="005C5089"/>
    <w:rsid w:val="005D2D46"/>
    <w:rsid w:val="005D485F"/>
    <w:rsid w:val="005D7B0A"/>
    <w:rsid w:val="005E025E"/>
    <w:rsid w:val="005E13E5"/>
    <w:rsid w:val="005E33F3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0917"/>
    <w:rsid w:val="006D1709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53A81"/>
    <w:rsid w:val="00754EF7"/>
    <w:rsid w:val="00760C79"/>
    <w:rsid w:val="00764B6E"/>
    <w:rsid w:val="007814FB"/>
    <w:rsid w:val="00785A51"/>
    <w:rsid w:val="0079188C"/>
    <w:rsid w:val="007A3E21"/>
    <w:rsid w:val="007B13CD"/>
    <w:rsid w:val="007B1C35"/>
    <w:rsid w:val="007B2EC1"/>
    <w:rsid w:val="007B6B1A"/>
    <w:rsid w:val="007C0689"/>
    <w:rsid w:val="007C2A4C"/>
    <w:rsid w:val="007D1D60"/>
    <w:rsid w:val="007D4D66"/>
    <w:rsid w:val="007D6F68"/>
    <w:rsid w:val="007D7A8D"/>
    <w:rsid w:val="007E7C08"/>
    <w:rsid w:val="00803353"/>
    <w:rsid w:val="00803CCB"/>
    <w:rsid w:val="0081008E"/>
    <w:rsid w:val="008105E8"/>
    <w:rsid w:val="00811017"/>
    <w:rsid w:val="00811480"/>
    <w:rsid w:val="00814782"/>
    <w:rsid w:val="008201AD"/>
    <w:rsid w:val="00823956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65DF7"/>
    <w:rsid w:val="00870886"/>
    <w:rsid w:val="00870D76"/>
    <w:rsid w:val="00883D76"/>
    <w:rsid w:val="00886211"/>
    <w:rsid w:val="00891B71"/>
    <w:rsid w:val="00893CA3"/>
    <w:rsid w:val="00896FE0"/>
    <w:rsid w:val="008A1732"/>
    <w:rsid w:val="008A7B36"/>
    <w:rsid w:val="008B4C88"/>
    <w:rsid w:val="008B54DF"/>
    <w:rsid w:val="008C13A5"/>
    <w:rsid w:val="008C2CC4"/>
    <w:rsid w:val="008C44F2"/>
    <w:rsid w:val="008D073C"/>
    <w:rsid w:val="008E745B"/>
    <w:rsid w:val="008F28B9"/>
    <w:rsid w:val="008F2B03"/>
    <w:rsid w:val="008F3690"/>
    <w:rsid w:val="008F46F2"/>
    <w:rsid w:val="008F69F7"/>
    <w:rsid w:val="008F7175"/>
    <w:rsid w:val="00902813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0249"/>
    <w:rsid w:val="00930A7E"/>
    <w:rsid w:val="00936671"/>
    <w:rsid w:val="009366C5"/>
    <w:rsid w:val="00936E4F"/>
    <w:rsid w:val="0094392E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2BAC"/>
    <w:rsid w:val="009A30B6"/>
    <w:rsid w:val="009A7450"/>
    <w:rsid w:val="009B058D"/>
    <w:rsid w:val="009B2361"/>
    <w:rsid w:val="009B4588"/>
    <w:rsid w:val="009B73EC"/>
    <w:rsid w:val="009C2AF3"/>
    <w:rsid w:val="009C3311"/>
    <w:rsid w:val="009C5CF6"/>
    <w:rsid w:val="009C6780"/>
    <w:rsid w:val="009C684A"/>
    <w:rsid w:val="009D0CF4"/>
    <w:rsid w:val="009D3C69"/>
    <w:rsid w:val="009D624A"/>
    <w:rsid w:val="009D6AA1"/>
    <w:rsid w:val="009D7493"/>
    <w:rsid w:val="009F02C1"/>
    <w:rsid w:val="009F6C4A"/>
    <w:rsid w:val="009F782E"/>
    <w:rsid w:val="00A01B7E"/>
    <w:rsid w:val="00A02004"/>
    <w:rsid w:val="00A03012"/>
    <w:rsid w:val="00A0353A"/>
    <w:rsid w:val="00A04F79"/>
    <w:rsid w:val="00A105A6"/>
    <w:rsid w:val="00A139F7"/>
    <w:rsid w:val="00A14385"/>
    <w:rsid w:val="00A160F7"/>
    <w:rsid w:val="00A16DB3"/>
    <w:rsid w:val="00A20707"/>
    <w:rsid w:val="00A22AA9"/>
    <w:rsid w:val="00A316CB"/>
    <w:rsid w:val="00A33BB1"/>
    <w:rsid w:val="00A3421C"/>
    <w:rsid w:val="00A34307"/>
    <w:rsid w:val="00A352B1"/>
    <w:rsid w:val="00A6262F"/>
    <w:rsid w:val="00A6301A"/>
    <w:rsid w:val="00A726B0"/>
    <w:rsid w:val="00A72F8D"/>
    <w:rsid w:val="00A7325C"/>
    <w:rsid w:val="00A7513B"/>
    <w:rsid w:val="00A761EA"/>
    <w:rsid w:val="00A81DD5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E75D4"/>
    <w:rsid w:val="00AF0E12"/>
    <w:rsid w:val="00B00143"/>
    <w:rsid w:val="00B06C84"/>
    <w:rsid w:val="00B06FCD"/>
    <w:rsid w:val="00B07901"/>
    <w:rsid w:val="00B111A6"/>
    <w:rsid w:val="00B1501F"/>
    <w:rsid w:val="00B17723"/>
    <w:rsid w:val="00B21316"/>
    <w:rsid w:val="00B24D9A"/>
    <w:rsid w:val="00B25E9A"/>
    <w:rsid w:val="00B312C1"/>
    <w:rsid w:val="00B36C3D"/>
    <w:rsid w:val="00B40F50"/>
    <w:rsid w:val="00B453FB"/>
    <w:rsid w:val="00B465F8"/>
    <w:rsid w:val="00B508BD"/>
    <w:rsid w:val="00B52903"/>
    <w:rsid w:val="00B5664B"/>
    <w:rsid w:val="00B61BC1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80CFE"/>
    <w:rsid w:val="00B948BE"/>
    <w:rsid w:val="00BA3C64"/>
    <w:rsid w:val="00BA3FC6"/>
    <w:rsid w:val="00BB00F0"/>
    <w:rsid w:val="00BB28D7"/>
    <w:rsid w:val="00BB60C2"/>
    <w:rsid w:val="00BB6D47"/>
    <w:rsid w:val="00BB706C"/>
    <w:rsid w:val="00BC26AD"/>
    <w:rsid w:val="00BD3073"/>
    <w:rsid w:val="00BD560D"/>
    <w:rsid w:val="00BD7E50"/>
    <w:rsid w:val="00BE1E14"/>
    <w:rsid w:val="00BE6ADE"/>
    <w:rsid w:val="00BF0498"/>
    <w:rsid w:val="00BF44F4"/>
    <w:rsid w:val="00BF56C6"/>
    <w:rsid w:val="00BF6DCC"/>
    <w:rsid w:val="00BF7422"/>
    <w:rsid w:val="00BF79E7"/>
    <w:rsid w:val="00C003EF"/>
    <w:rsid w:val="00C00AA8"/>
    <w:rsid w:val="00C0139D"/>
    <w:rsid w:val="00C07DB0"/>
    <w:rsid w:val="00C07F1A"/>
    <w:rsid w:val="00C15AEA"/>
    <w:rsid w:val="00C21F85"/>
    <w:rsid w:val="00C26175"/>
    <w:rsid w:val="00C27D9B"/>
    <w:rsid w:val="00C33296"/>
    <w:rsid w:val="00C338A3"/>
    <w:rsid w:val="00C36474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68F1"/>
    <w:rsid w:val="00C678BD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439B"/>
    <w:rsid w:val="00CA6476"/>
    <w:rsid w:val="00CB00BF"/>
    <w:rsid w:val="00CB1409"/>
    <w:rsid w:val="00CB5532"/>
    <w:rsid w:val="00CC0892"/>
    <w:rsid w:val="00CC3ADE"/>
    <w:rsid w:val="00CC3D6F"/>
    <w:rsid w:val="00CC42A6"/>
    <w:rsid w:val="00CC4D1A"/>
    <w:rsid w:val="00CD0C64"/>
    <w:rsid w:val="00CD25AD"/>
    <w:rsid w:val="00CD36D1"/>
    <w:rsid w:val="00CD5CEA"/>
    <w:rsid w:val="00CE0C8C"/>
    <w:rsid w:val="00CE1CA4"/>
    <w:rsid w:val="00CE2566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2557"/>
    <w:rsid w:val="00DA3AA3"/>
    <w:rsid w:val="00DA443D"/>
    <w:rsid w:val="00DA5F58"/>
    <w:rsid w:val="00DB01D5"/>
    <w:rsid w:val="00DB547D"/>
    <w:rsid w:val="00DB7A04"/>
    <w:rsid w:val="00DC203D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2BDD"/>
    <w:rsid w:val="00E03FEC"/>
    <w:rsid w:val="00E06EF5"/>
    <w:rsid w:val="00E12A1F"/>
    <w:rsid w:val="00E12AA8"/>
    <w:rsid w:val="00E23BE5"/>
    <w:rsid w:val="00E25811"/>
    <w:rsid w:val="00E27459"/>
    <w:rsid w:val="00E30D1F"/>
    <w:rsid w:val="00E34CD0"/>
    <w:rsid w:val="00E351F9"/>
    <w:rsid w:val="00E3754F"/>
    <w:rsid w:val="00E441C9"/>
    <w:rsid w:val="00E446C7"/>
    <w:rsid w:val="00E45B7E"/>
    <w:rsid w:val="00E52AB3"/>
    <w:rsid w:val="00E56082"/>
    <w:rsid w:val="00E56F5C"/>
    <w:rsid w:val="00E57A1F"/>
    <w:rsid w:val="00E600B0"/>
    <w:rsid w:val="00E64174"/>
    <w:rsid w:val="00E674FB"/>
    <w:rsid w:val="00E67739"/>
    <w:rsid w:val="00E70EE2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C1B88"/>
    <w:rsid w:val="00ED3DC6"/>
    <w:rsid w:val="00ED4346"/>
    <w:rsid w:val="00ED6324"/>
    <w:rsid w:val="00ED635D"/>
    <w:rsid w:val="00ED6566"/>
    <w:rsid w:val="00EE20AF"/>
    <w:rsid w:val="00EE3CAF"/>
    <w:rsid w:val="00EF3377"/>
    <w:rsid w:val="00EF7AF4"/>
    <w:rsid w:val="00F01F2D"/>
    <w:rsid w:val="00F0367B"/>
    <w:rsid w:val="00F05F42"/>
    <w:rsid w:val="00F06395"/>
    <w:rsid w:val="00F105EE"/>
    <w:rsid w:val="00F11F39"/>
    <w:rsid w:val="00F1280E"/>
    <w:rsid w:val="00F1345D"/>
    <w:rsid w:val="00F155FD"/>
    <w:rsid w:val="00F17886"/>
    <w:rsid w:val="00F20042"/>
    <w:rsid w:val="00F2012B"/>
    <w:rsid w:val="00F264D6"/>
    <w:rsid w:val="00F3012A"/>
    <w:rsid w:val="00F315F0"/>
    <w:rsid w:val="00F3162F"/>
    <w:rsid w:val="00F31CAC"/>
    <w:rsid w:val="00F32D53"/>
    <w:rsid w:val="00F42323"/>
    <w:rsid w:val="00F4787E"/>
    <w:rsid w:val="00F612F1"/>
    <w:rsid w:val="00F6467D"/>
    <w:rsid w:val="00F731C9"/>
    <w:rsid w:val="00F80F09"/>
    <w:rsid w:val="00F8389E"/>
    <w:rsid w:val="00F83BF5"/>
    <w:rsid w:val="00F84C2A"/>
    <w:rsid w:val="00F86308"/>
    <w:rsid w:val="00F8644C"/>
    <w:rsid w:val="00F8651D"/>
    <w:rsid w:val="00F90CE6"/>
    <w:rsid w:val="00F929E4"/>
    <w:rsid w:val="00F92E45"/>
    <w:rsid w:val="00F94EDD"/>
    <w:rsid w:val="00F97137"/>
    <w:rsid w:val="00FA22BC"/>
    <w:rsid w:val="00FC3969"/>
    <w:rsid w:val="00FC7937"/>
    <w:rsid w:val="00FD11F6"/>
    <w:rsid w:val="00FD1261"/>
    <w:rsid w:val="00FD17CD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31B7B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E074-B2C4-4542-8ECE-AA26D5BF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10735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305</cp:revision>
  <cp:lastPrinted>2021-10-05T09:09:00Z</cp:lastPrinted>
  <dcterms:created xsi:type="dcterms:W3CDTF">2020-04-23T10:35:00Z</dcterms:created>
  <dcterms:modified xsi:type="dcterms:W3CDTF">2024-10-28T09:48:00Z</dcterms:modified>
</cp:coreProperties>
</file>